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filled="t" fillcolor="#ffffff" v:ext="SMDATA_5_rcrGXA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A==">
      <v:fill color2="#000000" type="solid" angle="90"/>
    </v:background>
  </w:background>
  <w:body>
    <w:p>
      <w:pPr>
        <w:pStyle w:val="para13"/>
        <w:tabs>
          <w:tab w:val="clear" w:pos="4153" w:leader="none"/>
          <w:tab w:val="clear" w:pos="8306" w:leader="none"/>
        </w:tabs>
      </w:pPr>
      <w:r>
        <w:rPr>
          <w:noProof/>
        </w:rPr>
        <w:drawing>
          <wp:anchor distT="0" distB="0" distL="114300" distR="114300" simplePos="0" relativeHeight="251658241" behindDoc="0" locked="0" layoutInCell="0" hidden="0" allowOverlap="1">
            <wp:simplePos x="0" y="0"/>
            <wp:positionH relativeFrom="column">
              <wp:posOffset>904875</wp:posOffset>
            </wp:positionH>
            <wp:positionV relativeFrom="paragraph">
              <wp:posOffset>77470</wp:posOffset>
            </wp:positionV>
            <wp:extent cx="1352550" cy="638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6_rcrGX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KAAAAAAAAAAAAAAAAAAAAIAAACRBQAAAAAAAAIAAAB6AAAAUggAAO0DAAAAAAAAqQsAALICAAA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tbl>
      <w:tblPr>
        <w:name w:val="Таблица3"/>
        <w:tabOrder w:val="0"/>
        <w:jc w:val="left"/>
        <w:tblInd w:w="123" w:type="dxa"/>
        <w:tblW w:w="9647" w:type="dxa"/>
      </w:tblPr>
      <w:tblGrid>
        <w:gridCol w:w="4947"/>
        <w:gridCol w:w="130"/>
        <w:gridCol w:w="4570"/>
      </w:tblGrid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7635"/>
              </w:rPr>
            </w:pPr>
            <w:r>
              <w:rPr>
                <w:rFonts w:ascii="Arial" w:hAnsi="Arial"/>
                <w:b/>
                <w:color w:val="007635"/>
              </w:rPr>
              <w:t>Садовое</w:t>
            </w:r>
            <w:r>
              <w:rPr>
                <w:rFonts w:ascii="Arial" w:hAnsi="Arial"/>
                <w:b/>
                <w:color w:val="00421e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7635"/>
              </w:rPr>
              <w:t xml:space="preserve">некоммерческое товарищество </w:t>
            </w:r>
            <w:r>
              <w:rPr>
                <w:rFonts w:ascii="Arial" w:hAnsi="Arial"/>
                <w:b/>
                <w:color w:val="007635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7635"/>
              </w:rPr>
              <w:t>собственников недвижимости</w:t>
            </w:r>
            <w:r>
              <w:rPr>
                <w:rFonts w:ascii="Arial" w:hAnsi="Arial"/>
                <w:b/>
                <w:sz w:val="22"/>
              </w:rPr>
              <w:t xml:space="preserve">  </w:t>
            </w: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421e"/>
                <w:sz w:val="22"/>
              </w:rPr>
            </w:pPr>
            <w:r>
              <w:rPr>
                <w:rFonts w:ascii="Arial" w:hAnsi="Arial"/>
                <w:b/>
                <w:color w:val="007635"/>
                <w:sz w:val="22"/>
              </w:rPr>
              <w:t>«Полярная усадьба»</w:t>
            </w:r>
            <w:r>
              <w:rPr>
                <w:rFonts w:ascii="Arial" w:hAnsi="Arial"/>
                <w:b/>
                <w:color w:val="00421e"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6"/>
                <w:szCs w:val="16"/>
              </w:rPr>
              <w:t>ОГРН -</w:t>
            </w:r>
            <w:r>
              <w:rPr>
                <w:rFonts w:ascii="Arial" w:hAnsi="Arial"/>
                <w:sz w:val="18"/>
                <w:szCs w:val="18"/>
              </w:rPr>
              <w:t>10</w:t>
            </w:r>
            <w:r>
              <w:rPr>
                <w:rFonts w:ascii="Arial" w:hAnsi="Arial"/>
                <w:sz w:val="18"/>
                <w:szCs w:val="18"/>
              </w:rPr>
              <w:t>55100064227</w:t>
            </w: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Челюскинцев ул., д. 30,</w:t>
            </w:r>
          </w:p>
          <w:p>
            <w:pPr>
              <w:spacing/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г. Мурманск, 183038</w:t>
            </w:r>
          </w:p>
          <w:p>
            <w:pPr>
              <w:spacing/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филиал «КолАтомЭнергоСбыт» </w:t>
            </w:r>
          </w:p>
          <w:p>
            <w:pPr>
              <w:spacing/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АО «АтомЭнергоСбыт»</w:t>
            </w:r>
          </w:p>
          <w:p>
            <w:pPr>
              <w:spacing/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ИНН 5105081616,   КПП  519001001,  КФС 16.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120" w:hRule="atLeast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адрес: Мурманск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kern w:val="1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Марата, </w:t>
            </w:r>
            <w:r>
              <w:rPr>
                <w:kern w:val="1"/>
                <w:sz w:val="16"/>
                <w:szCs w:val="16"/>
              </w:rPr>
              <w:t>д. 26, эт. 7, офис РК «Атлантика»</w:t>
            </w:r>
            <w:r>
              <w:rPr>
                <w:kern w:val="1"/>
                <w:sz w:val="16"/>
                <w:szCs w:val="16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pStyle w:val="para5"/>
              <w:rPr>
                <w:rFonts w:ascii="Arial Narrow" w:hAnsi="Arial Narrow"/>
                <w:b w:val="0"/>
                <w:sz w:val="20"/>
              </w:rPr>
            </w:pPr>
            <w:r>
              <w:rPr>
                <w:rFonts w:ascii="Arial Narrow" w:hAnsi="Arial Narrow"/>
                <w:b w:val="0"/>
                <w:sz w:val="20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Р/счет № 40703810641000100423 в отделении 8627 Сбербанка России        г. Мурманск,  БИК  044705615, корсчет № 30101810300000000615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spacing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rPr>
          <w:b/>
        </w:rPr>
      </w:pPr>
      <w:r>
        <w:rPr>
          <w:b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4"/>
          <w:szCs w:val="24"/>
        </w:rPr>
      </w:pPr>
      <w:r>
        <w:rPr>
          <w:rFonts w:eastAsia="SimSun"/>
          <w:kern w:val="1"/>
          <w:sz w:val="24"/>
          <w:szCs w:val="24"/>
        </w:rPr>
      </w:r>
    </w:p>
    <w:p>
      <w:pPr>
        <w:ind w:firstLine="708"/>
        <w:spacing/>
        <w:jc w:val="both"/>
        <w:widowControl w:val="0"/>
        <w:rPr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  <w:lang w:val="en-us"/>
        </w:rPr>
        <w:t>СНТСН “Полярная усадьба” (далее Товарищество)  является потребителем электрической энергии, поставляемой</w:t>
      </w:r>
      <w:r>
        <w:rPr>
          <w:kern w:val="1"/>
          <w:sz w:val="28"/>
          <w:szCs w:val="28"/>
        </w:rPr>
        <w:t xml:space="preserve"> «КолАтомЭнергоСбыт» на основании договора энергоснабжения № 5110204338 от 02.02.2015.</w:t>
      </w:r>
    </w:p>
    <w:p>
      <w:pPr>
        <w:ind w:firstLine="708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На настоящее время долг Товарищества по электроэнергии, как следует из  претензии  «КолАтомЭнергоСбыт»  от 22.03.2019, составляет 6 357 296,98 руб.</w:t>
      </w:r>
    </w:p>
    <w:p>
      <w:pPr>
        <w:ind w:firstLine="708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Причиной возникновения долга стало отсутствие надлежащего контроля  и  организации  учета потребления электроэнергии и ее оплате потребителями, собстве</w:t>
      </w:r>
      <w:r>
        <w:rPr>
          <w:color w:val="000000"/>
          <w:kern w:val="1"/>
          <w:sz w:val="28"/>
          <w:szCs w:val="28"/>
        </w:rPr>
        <w:t>нниками земельных участков в границах Товарищества, а также потребителями в так называемой «Норвежской деревне», находящейся за пределами территории Товарищества, со стороны предыдущего руководства Товарищества, во главе кот</w:t>
      </w:r>
      <w:r>
        <w:rPr>
          <w:kern w:val="1"/>
          <w:sz w:val="28"/>
          <w:szCs w:val="28"/>
        </w:rPr>
        <w:t>орого стоял Смолкин В.П.</w:t>
      </w:r>
    </w:p>
    <w:p>
      <w:pPr>
        <w:ind w:firstLine="708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Правление Товарищества предпринимает меры организации надлежащего учета потребленной электроэнергии и  по ее оплате. </w:t>
      </w:r>
    </w:p>
    <w:p>
      <w:pPr>
        <w:ind w:firstLine="708"/>
        <w:spacing/>
        <w:jc w:val="both"/>
        <w:widowControl w:val="0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Так, с сентября 2017 года собственники земельных участков, проживающие в норвежской деревне систематически оплачивают потребленную электроэнергию по показаниям установленного в ТП-2 прибора учета. С этого времени ими оплачено свыше 400 000 кВт электроэнергии.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kern w:val="1"/>
          <w:sz w:val="28"/>
          <w:szCs w:val="28"/>
        </w:rPr>
        <w:t>Правлением ведется целенаправленная работа по заключению всеми собственниками земельных участков в границах Товарищества договоров энергоснабжения непосредственно</w:t>
      </w:r>
      <w:r>
        <w:rPr>
          <w:color w:val="000000"/>
          <w:kern w:val="1"/>
          <w:sz w:val="28"/>
          <w:szCs w:val="28"/>
        </w:rPr>
        <w:t xml:space="preserve"> с «КолАтомЭнергоСбыт».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Кроме того, в целях погашения задолженности правлением Товарищества заключен агентский договор с «КолАтомЭнергоСбыт» на продажу земельных участков Товарищества и погашении за счет вырученных средств задолженности по электроэнергии. 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Между тем, в настоящее время Товарищество по объективным причинам не имеет возможности оплачивать текущие платежи по электроэнергии, поскольку операции по единственному расчетному счету Товарищества, открытому в ПАО Сбербанк России приостановлены на основании постановления судебного пристава-исполнителя, исполняющего, в числе прочего,  судебные решения о взыскании в пользу «КолАтомЭнергоСбыт» долга по электроэнергии. </w:t>
      </w:r>
    </w:p>
    <w:p>
      <w:pPr>
        <w:ind w:firstLine="708"/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По этой же причине Товарищество не имеет возможности осуществлять и другие операции по счету для обеспечения своей жизнедеятельности, собирать ежемесячные и целевые взносы с членов Товарищества и лиц, ведущих садовую деятельность без участия в Товариществе, которые, как установлено вступившим с 01.01.2019 в законную силу</w:t>
      </w:r>
      <w:r>
        <w:rPr>
          <w:rFonts w:eastAsia="SimSun"/>
          <w:color w:val="000000"/>
          <w:kern w:val="1"/>
          <w:sz w:val="28"/>
          <w:szCs w:val="28"/>
        </w:rPr>
        <w:t xml:space="preserve"> федеральным законом</w:t>
      </w:r>
      <w:r>
        <w:rPr>
          <w:color w:val="000000"/>
          <w:kern w:val="1"/>
          <w:sz w:val="28"/>
          <w:szCs w:val="28"/>
        </w:rPr>
        <w:t xml:space="preserve"> </w:t>
      </w:r>
      <w:r>
        <w:rPr>
          <w:rFonts w:eastAsia="SimSun"/>
          <w:color w:val="000000"/>
          <w:kern w:val="1"/>
          <w:sz w:val="28"/>
          <w:szCs w:val="28"/>
        </w:rPr>
        <w:t>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должны вноситься только на расчетный счет в банке (п. 7 ст. 3, ч. 3 и 6 ст. 14).</w:t>
      </w:r>
    </w:p>
    <w:p>
      <w:pPr>
        <w:ind w:firstLine="708"/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ab/>
        <w:t>Помимо этого, из-за блокировки банковского счёта Товарищество не имеет возможности начать исполнение решения общего собрания членов и начать сбор целевых взносов для реализации второго этапа реконструкции сети энергоснабжения посёлка, в процессе которой планируется выполнение работ по централизованной установке всех счётчиков электроэнергии во вновь смонтированных электрораспределительных шкафах, расположенных на улице. После установки 100% всех счётчиков потребителей на улице, появится возможность контроля показаний и пресечения хищений электроэнергии.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Правление СНТСН «Полярная усадьба» искренне стремится к обеспечению исполнения своих договорных обязательств по договору энергоснабжения с «КолАтомЭнергоСбыт» которое невозможно без встречных шагов со стороны последнего. 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Учитывая, что Товарищество является некоммерческой организацией,  существующей только на взносы членов Товарищества и лиц, ведущих садовую деятельность без участия в Товариществе, оно не имеет возможности одномоментно погасить ранее возникшую задолженность. 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Правление предлагает продолжать погашение ранее возникшей задолженности за счет денежных средств, поступающих от продажи «КолАтомЭнергоСбыт» земельных участков Товарищества по условиям агентского договора.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Что касается организации оплаты текущих платежей за электроэнергию правление предлагает «КолАтомЭнергоСбыт» отозвать с исполнения исполнительные листы, выданные на взыскание с Товарищества долга по электроэнергии, с тем, чтобы были сняты ограничения на операции по расчетному счету в банке и появилась объективная возможность проведения соответствующих платежей.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  <w:t>При условии снятия</w:t>
      </w:r>
      <w:r>
        <w:rPr>
          <w:color w:val="000000"/>
          <w:kern w:val="1"/>
          <w:sz w:val="28"/>
          <w:szCs w:val="28"/>
        </w:rPr>
        <w:t xml:space="preserve"> ограничения на операции по расчетному счету в банке Товарищество гарантирует оплату текущих платежей начиная с июня 2019 года.</w:t>
      </w:r>
    </w:p>
    <w:p>
      <w:pPr>
        <w:ind w:firstLine="708"/>
        <w:spacing/>
        <w:jc w:val="both"/>
        <w:widowControl w:val="0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В случае отклонения нашего обращения, единственным способом обеспечения функционирования посёлка может быть объявление банкротства, что повлечёт ненужные финансовые затраты для собственников участков и уменьшит возможности Вашей организации в погашении задолженности за потреблённую электроэнергию. </w:t>
      </w:r>
      <w:r>
        <w:rPr>
          <w:color w:val="000000"/>
        </w:rPr>
      </w:r>
      <w:bookmarkStart w:id="0" w:name="_GoBack"/>
      <w:bookmarkEnd w:id="0"/>
      <w:r>
        <w:rPr>
          <w:color w:val="000000"/>
        </w:rPr>
      </w:r>
      <w:r>
        <w:rPr>
          <w:color w:val="000000"/>
          <w:kern w:val="1"/>
          <w:sz w:val="28"/>
          <w:szCs w:val="28"/>
        </w:rPr>
      </w:r>
    </w:p>
    <w:p>
      <w:pPr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</w:r>
    </w:p>
    <w:p>
      <w:pPr>
        <w:spacing/>
        <w:jc w:val="both"/>
        <w:widowControl w:val="0"/>
        <w:rPr>
          <w:rFonts w:eastAsia="SimSun"/>
          <w:color w:val="000000"/>
          <w:kern w:val="1"/>
          <w:sz w:val="28"/>
          <w:szCs w:val="28"/>
        </w:rPr>
      </w:pPr>
      <w:r>
        <w:rPr>
          <w:rFonts w:eastAsia="SimSun"/>
          <w:color w:val="000000"/>
          <w:kern w:val="1"/>
          <w:sz w:val="28"/>
          <w:szCs w:val="28"/>
        </w:rPr>
      </w:r>
    </w:p>
    <w:tbl>
      <w:tblPr>
        <w:name w:val="Таблица2"/>
        <w:tabOrder w:val="0"/>
        <w:jc w:val="left"/>
        <w:tblInd w:w="0" w:type="dxa"/>
        <w:tblW w:w="9996" w:type="dxa"/>
      </w:tblPr>
      <w:tblGrid>
        <w:gridCol w:w="3752"/>
        <w:gridCol w:w="2912"/>
        <w:gridCol w:w="3332"/>
      </w:tblGrid>
      <w:tr>
        <w:trPr>
          <w:trHeight w:val="0" w:hRule="auto"/>
        </w:trPr>
        <w:tc>
          <w:tcPr>
            <w:tcW w:w="375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СНТСН "Полярная усадьба"</w:t>
            </w:r>
          </w:p>
        </w:tc>
        <w:tc>
          <w:tcPr>
            <w:tcW w:w="291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single" w:sz="4" w:space="0" w:color="000000" tmln="1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pStyle w:val="para21"/>
              <w: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333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531885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Л.В. Соболев</w:t>
            </w:r>
          </w:p>
        </w:tc>
      </w:tr>
    </w:tbl>
    <w:p>
      <w:pPr>
        <w:pStyle w:val="para21"/>
        <w:ind w:firstLine="567"/>
        <w: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м.п.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560" w:top="568" w:right="566" w:bottom="993"/>
      <w:paperSrc w:first="0" w:other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Tahoma">
    <w:panose1 w:val="020B0604030504040204"/>
    <w:charset w:val="00"/>
    <w:family w:val="swiss"/>
    <w:pitch w:val="default"/>
  </w:font>
  <w:font w:name="Arial Unicode MS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Arial Narrow">
    <w:panose1 w:val="020B060402020202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"/>
    <w:tmLastPosSelect w:val="0"/>
    <w:tmLastPosFrameIdx w:val="0"/>
    <w:tmLastPosCaret>
      <w:tmLastPosPgfIdx w:val="22"/>
      <w:tmLastPosIdx w:val="90"/>
    </w:tmLastPosCaret>
    <w:tmLastPosAnchor>
      <w:tmLastPosPgfIdx w:val="0"/>
      <w:tmLastPosIdx w:val="0"/>
    </w:tmLastPosAnchor>
    <w:tmLastPosTblRect w:left="0" w:top="0" w:right="0" w:bottom="0"/>
  </w:tmLastPos>
  <w:tmAppRevision w:date="1556531885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  <w:suppressLineNumbers w:val="0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  <w:suppressLineNumbers w:val="0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/>
  <cp:revision>18</cp:revision>
  <cp:lastPrinted>2019-04-29T09:58:21Z</cp:lastPrinted>
  <dcterms:created xsi:type="dcterms:W3CDTF">2018-01-23T11:37:00Z</dcterms:created>
  <dcterms:modified xsi:type="dcterms:W3CDTF">2019-04-29T09:58:05Z</dcterms:modified>
</cp:coreProperties>
</file>